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pPr>
        <w:jc w:val="center"/>
        <w:rPr>
          <w:rFonts w:hint="eastAsia" w:ascii="楷体_GB2312" w:hAnsi="楷体_GB2312" w:eastAsia="楷体_GB2312" w:cs="楷体_GB2312"/>
          <w:b/>
          <w:bCs/>
          <w:sz w:val="44"/>
          <w:szCs w:val="44"/>
        </w:rPr>
      </w:pPr>
    </w:p>
    <w:p>
      <w:pPr>
        <w:jc w:val="both"/>
        <w:rPr>
          <w:rFonts w:hint="eastAsia" w:ascii="楷体_GB2312" w:hAnsi="楷体_GB2312" w:eastAsia="楷体_GB2312" w:cs="楷体_GB2312"/>
          <w:b/>
          <w:bCs/>
          <w:sz w:val="44"/>
          <w:szCs w:val="44"/>
        </w:rPr>
      </w:pPr>
    </w:p>
    <w:p>
      <w:pPr>
        <w:jc w:val="center"/>
        <w:rPr>
          <w:rFonts w:hint="eastAsia" w:ascii="楷体_GB2312" w:hAnsi="楷体_GB2312" w:eastAsia="楷体_GB2312" w:cs="楷体_GB2312"/>
          <w:b/>
          <w:bCs/>
          <w:sz w:val="44"/>
          <w:szCs w:val="44"/>
        </w:rPr>
      </w:pPr>
    </w:p>
    <w:p>
      <w:pPr>
        <w:jc w:val="center"/>
        <w:rPr>
          <w:rFonts w:hint="eastAsia" w:ascii="楷体_GB2312" w:hAnsi="楷体_GB2312" w:eastAsia="楷体_GB2312" w:cs="楷体_GB2312"/>
          <w:sz w:val="30"/>
          <w:szCs w:val="30"/>
        </w:rPr>
      </w:pPr>
      <w:r>
        <w:rPr>
          <w:rFonts w:hint="eastAsia" w:ascii="仿宋_GB2312" w:hAnsi="仿宋_GB2312" w:eastAsia="仿宋_GB2312" w:cs="仿宋_GB2312"/>
          <w:sz w:val="32"/>
          <w:szCs w:val="32"/>
        </w:rPr>
        <w:t>一中校字[20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22 </w:t>
      </w:r>
      <w:r>
        <w:rPr>
          <w:rFonts w:hint="eastAsia" w:ascii="仿宋_GB2312" w:hAnsi="仿宋_GB2312" w:eastAsia="仿宋_GB2312" w:cs="仿宋_GB2312"/>
          <w:sz w:val="32"/>
          <w:szCs w:val="32"/>
        </w:rPr>
        <w:t>号</w:t>
      </w:r>
    </w:p>
    <w:p>
      <w:pPr>
        <w:jc w:val="center"/>
        <w:rPr>
          <w:rFonts w:hint="eastAsia" w:ascii="楷体_GB2312" w:hAnsi="楷体_GB2312" w:eastAsia="楷体_GB2312" w:cs="楷体_GB2312"/>
          <w:b/>
          <w:bCs/>
          <w:sz w:val="44"/>
          <w:szCs w:val="44"/>
        </w:rPr>
      </w:pPr>
    </w:p>
    <w:p>
      <w:pPr>
        <w:jc w:val="center"/>
        <w:rPr>
          <w:rFonts w:hint="eastAsia" w:ascii="楷体_GB2312" w:hAnsi="楷体_GB2312" w:eastAsia="楷体_GB2312" w:cs="楷体_GB2312"/>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泰安一中专业技术岗位</w:t>
      </w:r>
      <w:r>
        <w:rPr>
          <w:rFonts w:hint="eastAsia" w:ascii="方正小标宋简体" w:hAnsi="方正小标宋简体" w:eastAsia="方正小标宋简体" w:cs="方正小标宋简体"/>
          <w:b/>
          <w:bCs/>
          <w:sz w:val="44"/>
          <w:szCs w:val="44"/>
          <w:lang w:eastAsia="zh-CN"/>
        </w:rPr>
        <w:t>分级聘任</w:t>
      </w:r>
      <w:r>
        <w:rPr>
          <w:rFonts w:hint="eastAsia" w:ascii="方正小标宋简体" w:hAnsi="方正小标宋简体" w:eastAsia="方正小标宋简体" w:cs="方正小标宋简体"/>
          <w:b/>
          <w:bCs/>
          <w:sz w:val="44"/>
          <w:szCs w:val="44"/>
        </w:rPr>
        <w:t>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sz w:val="44"/>
          <w:szCs w:val="44"/>
        </w:rPr>
      </w:pPr>
      <w:r>
        <w:rPr>
          <w:rFonts w:hint="eastAsia" w:ascii="方正小标宋简体" w:hAnsi="方正小标宋简体" w:eastAsia="方正小标宋简体" w:cs="方正小标宋简体"/>
          <w:b/>
          <w:bCs/>
          <w:sz w:val="44"/>
          <w:szCs w:val="44"/>
        </w:rPr>
        <w:t>实 施 方 案</w:t>
      </w:r>
    </w:p>
    <w:p>
      <w:pPr>
        <w:spacing w:line="580" w:lineRule="exact"/>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bidi w:val="0"/>
        <w:adjustRightInd/>
        <w:snapToGrid/>
        <w:spacing w:line="580" w:lineRule="exact"/>
        <w:ind w:firstLine="0" w:firstLineChars="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 xml:space="preserve">    </w:t>
      </w:r>
      <w:r>
        <w:rPr>
          <w:rFonts w:ascii="仿宋_GB2312" w:hAnsi="宋体" w:eastAsia="仿宋_GB2312" w:cs="仿宋_GB2312"/>
          <w:color w:val="000000"/>
          <w:kern w:val="0"/>
          <w:sz w:val="32"/>
          <w:szCs w:val="32"/>
          <w:lang w:val="en-US" w:eastAsia="zh-CN" w:bidi="ar"/>
        </w:rPr>
        <w:t>根据《事业单位人事管理条例》（中华人民</w:t>
      </w:r>
      <w:r>
        <w:rPr>
          <w:rFonts w:hint="eastAsia" w:ascii="仿宋_GB2312" w:hAnsi="宋体" w:eastAsia="仿宋_GB2312" w:cs="仿宋_GB2312"/>
          <w:color w:val="000000"/>
          <w:kern w:val="0"/>
          <w:sz w:val="32"/>
          <w:szCs w:val="32"/>
          <w:lang w:val="en-US" w:eastAsia="zh-CN" w:bidi="ar"/>
        </w:rPr>
        <w:t xml:space="preserve">共和国国务院令第 </w:t>
      </w:r>
      <w:r>
        <w:rPr>
          <w:rFonts w:hint="default" w:ascii="Times New Roman" w:hAnsi="Times New Roman" w:eastAsia="宋体" w:cs="Times New Roman"/>
          <w:color w:val="000000"/>
          <w:kern w:val="0"/>
          <w:sz w:val="32"/>
          <w:szCs w:val="32"/>
          <w:lang w:val="en-US" w:eastAsia="zh-CN" w:bidi="ar"/>
        </w:rPr>
        <w:t xml:space="preserve">652 </w:t>
      </w:r>
      <w:r>
        <w:rPr>
          <w:rFonts w:hint="eastAsia" w:ascii="仿宋_GB2312" w:hAnsi="宋体" w:eastAsia="仿宋_GB2312" w:cs="仿宋_GB2312"/>
          <w:color w:val="000000"/>
          <w:kern w:val="0"/>
          <w:sz w:val="32"/>
          <w:szCs w:val="32"/>
          <w:lang w:val="en-US" w:eastAsia="zh-CN" w:bidi="ar"/>
        </w:rPr>
        <w:t>号）、《事业单位岗位设置管理试行办法》（国人部发〔</w:t>
      </w:r>
      <w:r>
        <w:rPr>
          <w:rFonts w:hint="default" w:ascii="Times New Roman" w:hAnsi="Times New Roman" w:eastAsia="宋体" w:cs="Times New Roman"/>
          <w:color w:val="000000"/>
          <w:kern w:val="0"/>
          <w:sz w:val="32"/>
          <w:szCs w:val="32"/>
          <w:lang w:val="en-US" w:eastAsia="zh-CN" w:bidi="ar"/>
        </w:rPr>
        <w:t>2006</w:t>
      </w: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70 </w:t>
      </w:r>
      <w:r>
        <w:rPr>
          <w:rFonts w:hint="eastAsia" w:ascii="仿宋_GB2312" w:hAnsi="宋体" w:eastAsia="仿宋_GB2312" w:cs="仿宋_GB2312"/>
          <w:color w:val="000000"/>
          <w:kern w:val="0"/>
          <w:sz w:val="32"/>
          <w:szCs w:val="32"/>
          <w:lang w:val="en-US" w:eastAsia="zh-CN" w:bidi="ar"/>
        </w:rPr>
        <w:t>号）以及中共山东省委组织部、山东省人力资源和社会保障厅《关于印发山东省事业单位工作人员竞聘上岗办法的通知》（鲁人社发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w:t>
      </w:r>
      <w:r>
        <w:rPr>
          <w:rFonts w:hint="eastAsia" w:ascii="仿宋_GB2312" w:hAnsi="宋体" w:eastAsia="仿宋_GB2312" w:cs="仿宋_GB2312"/>
          <w:color w:val="000000"/>
          <w:kern w:val="0"/>
          <w:sz w:val="32"/>
          <w:szCs w:val="32"/>
          <w:lang w:val="en-US" w:eastAsia="zh-CN" w:bidi="ar"/>
        </w:rPr>
        <w:t>）等文件规定，结合我校实际，本着公平、公正、公开的原则，特制定本实施方案。</w:t>
      </w:r>
    </w:p>
    <w:p>
      <w:pPr>
        <w:keepNext w:val="0"/>
        <w:keepLines w:val="0"/>
        <w:pageBreakBefore w:val="0"/>
        <w:numPr>
          <w:ilvl w:val="0"/>
          <w:numId w:val="0"/>
        </w:numPr>
        <w:kinsoku/>
        <w:wordWrap/>
        <w:overflowPunct/>
        <w:topLinePunct w:val="0"/>
        <w:autoSpaceDE/>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竞聘范围</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凡校内从事专业技术工作的在编在岗人员，</w:t>
      </w:r>
      <w:r>
        <w:rPr>
          <w:rFonts w:ascii="仿宋_GB2312" w:hAnsi="宋体" w:eastAsia="仿宋_GB2312" w:cs="仿宋_GB2312"/>
          <w:color w:val="000000"/>
          <w:kern w:val="0"/>
          <w:sz w:val="32"/>
          <w:szCs w:val="32"/>
          <w:lang w:val="en-US" w:eastAsia="zh-CN" w:bidi="ar"/>
        </w:rPr>
        <w:t>现聘岗位最近一个聘期考核</w:t>
      </w:r>
      <w:r>
        <w:rPr>
          <w:rFonts w:hint="eastAsia" w:ascii="仿宋_GB2312" w:hAnsi="宋体" w:eastAsia="仿宋_GB2312" w:cs="仿宋_GB2312"/>
          <w:color w:val="000000"/>
          <w:kern w:val="0"/>
          <w:sz w:val="32"/>
          <w:szCs w:val="32"/>
          <w:lang w:val="en-US" w:eastAsia="zh-CN" w:bidi="ar"/>
        </w:rPr>
        <w:t>结果为合格及以上，均可按照有关规定竞聘相应的专业技术岗位。</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2"/>
          <w:szCs w:val="32"/>
          <w:lang w:val="en-US" w:eastAsia="zh-CN" w:bidi="ar"/>
        </w:rPr>
        <w:t>兼职教师（中层正职及以上干部）参加竞聘前要先办理兼职审批手续。</w:t>
      </w:r>
    </w:p>
    <w:p>
      <w:pPr>
        <w:keepNext w:val="0"/>
        <w:keepLines w:val="0"/>
        <w:pageBreakBefore w:val="0"/>
        <w:numPr>
          <w:ilvl w:val="0"/>
          <w:numId w:val="1"/>
        </w:numPr>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rPr>
        <w:t>竞聘岗位及条件</w:t>
      </w:r>
      <w:r>
        <w:rPr>
          <w:rFonts w:hint="eastAsia" w:ascii="仿宋_GB2312" w:hAnsi="仿宋_GB2312" w:eastAsia="仿宋_GB2312" w:cs="仿宋_GB2312"/>
          <w:b/>
          <w:bCs/>
          <w:sz w:val="32"/>
          <w:szCs w:val="32"/>
          <w:lang w:val="en-US" w:eastAsia="zh-CN"/>
        </w:rPr>
        <w:t xml:space="preserve"> </w:t>
      </w:r>
    </w:p>
    <w:p>
      <w:pPr>
        <w:keepNext w:val="0"/>
        <w:keepLines w:val="0"/>
        <w:pageBreakBefore w:val="0"/>
        <w:numPr>
          <w:ilvl w:val="0"/>
          <w:numId w:val="0"/>
        </w:numPr>
        <w:kinsoku/>
        <w:wordWrap/>
        <w:overflowPunct/>
        <w:topLinePunct w:val="0"/>
        <w:autoSpaceDE/>
        <w:bidi w:val="0"/>
        <w:adjustRightInd/>
        <w:snapToGrid/>
        <w:spacing w:line="580" w:lineRule="exact"/>
        <w:textAlignment w:val="auto"/>
        <w:rPr>
          <w:rFonts w:hint="default" w:ascii="仿宋_GB2312" w:hAnsi="仿宋_GB2312" w:eastAsia="仿宋_GB2312" w:cs="仿宋_GB2312"/>
          <w:b/>
          <w:bCs/>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185"/>
        <w:gridCol w:w="1140"/>
        <w:gridCol w:w="1050"/>
        <w:gridCol w:w="1080"/>
        <w:gridCol w:w="1185"/>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主系列</w:t>
            </w:r>
          </w:p>
        </w:tc>
        <w:tc>
          <w:tcPr>
            <w:tcW w:w="1185"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rPr>
            </w:pPr>
            <w:r>
              <w:rPr>
                <w:rFonts w:hint="eastAsia" w:ascii="仿宋_GB2312" w:hAnsi="仿宋_GB2312" w:eastAsia="仿宋_GB2312" w:cs="仿宋_GB2312"/>
                <w:b w:val="0"/>
                <w:bCs w:val="0"/>
                <w:kern w:val="2"/>
                <w:sz w:val="32"/>
                <w:szCs w:val="32"/>
                <w:vertAlign w:val="baseline"/>
                <w:lang w:val="en-US" w:eastAsia="zh-CN"/>
              </w:rPr>
              <w:t>3级</w:t>
            </w:r>
          </w:p>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default" w:ascii="仿宋_GB2312" w:hAnsi="仿宋_GB2312" w:eastAsia="仿宋_GB2312" w:cs="仿宋_GB2312"/>
                <w:b w:val="0"/>
                <w:bCs w:val="0"/>
                <w:kern w:val="2"/>
                <w:sz w:val="32"/>
                <w:szCs w:val="32"/>
                <w:vertAlign w:val="baseline"/>
                <w:lang w:val="en-US" w:eastAsia="zh-CN"/>
              </w:rPr>
            </w:pPr>
            <w:r>
              <w:rPr>
                <w:rFonts w:hint="eastAsia" w:ascii="仿宋_GB2312" w:hAnsi="仿宋_GB2312" w:eastAsia="仿宋_GB2312" w:cs="仿宋_GB2312"/>
                <w:b w:val="0"/>
                <w:bCs w:val="0"/>
                <w:kern w:val="2"/>
                <w:sz w:val="32"/>
                <w:szCs w:val="32"/>
                <w:vertAlign w:val="baseline"/>
                <w:lang w:val="en-US" w:eastAsia="zh-CN"/>
              </w:rPr>
              <w:t>教师</w:t>
            </w:r>
          </w:p>
        </w:tc>
        <w:tc>
          <w:tcPr>
            <w:tcW w:w="114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5级</w:t>
            </w:r>
          </w:p>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c>
          <w:tcPr>
            <w:tcW w:w="105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6级</w:t>
            </w:r>
          </w:p>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c>
          <w:tcPr>
            <w:tcW w:w="108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8级</w:t>
            </w:r>
          </w:p>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c>
          <w:tcPr>
            <w:tcW w:w="1185"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9级</w:t>
            </w:r>
          </w:p>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c>
          <w:tcPr>
            <w:tcW w:w="1139"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11级</w:t>
            </w:r>
          </w:p>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核准岗位数</w:t>
            </w:r>
          </w:p>
        </w:tc>
        <w:tc>
          <w:tcPr>
            <w:tcW w:w="1185"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6</w:t>
            </w:r>
          </w:p>
        </w:tc>
        <w:tc>
          <w:tcPr>
            <w:tcW w:w="114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41</w:t>
            </w:r>
          </w:p>
        </w:tc>
        <w:tc>
          <w:tcPr>
            <w:tcW w:w="105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83</w:t>
            </w:r>
          </w:p>
        </w:tc>
        <w:tc>
          <w:tcPr>
            <w:tcW w:w="108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98</w:t>
            </w:r>
          </w:p>
        </w:tc>
        <w:tc>
          <w:tcPr>
            <w:tcW w:w="1185"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125</w:t>
            </w:r>
          </w:p>
        </w:tc>
        <w:tc>
          <w:tcPr>
            <w:tcW w:w="1139"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空缺岗位数</w:t>
            </w:r>
          </w:p>
        </w:tc>
        <w:tc>
          <w:tcPr>
            <w:tcW w:w="1185"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6</w:t>
            </w:r>
          </w:p>
        </w:tc>
        <w:tc>
          <w:tcPr>
            <w:tcW w:w="114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28</w:t>
            </w:r>
          </w:p>
        </w:tc>
        <w:tc>
          <w:tcPr>
            <w:tcW w:w="105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41</w:t>
            </w:r>
          </w:p>
        </w:tc>
        <w:tc>
          <w:tcPr>
            <w:tcW w:w="108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87</w:t>
            </w:r>
          </w:p>
        </w:tc>
        <w:tc>
          <w:tcPr>
            <w:tcW w:w="1185"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110</w:t>
            </w:r>
          </w:p>
        </w:tc>
        <w:tc>
          <w:tcPr>
            <w:tcW w:w="1139"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本次设岗数</w:t>
            </w:r>
          </w:p>
        </w:tc>
        <w:tc>
          <w:tcPr>
            <w:tcW w:w="1185"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114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28</w:t>
            </w:r>
          </w:p>
        </w:tc>
        <w:tc>
          <w:tcPr>
            <w:tcW w:w="105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41</w:t>
            </w:r>
          </w:p>
        </w:tc>
        <w:tc>
          <w:tcPr>
            <w:tcW w:w="1080"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87</w:t>
            </w:r>
          </w:p>
        </w:tc>
        <w:tc>
          <w:tcPr>
            <w:tcW w:w="1185"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110</w:t>
            </w:r>
          </w:p>
        </w:tc>
        <w:tc>
          <w:tcPr>
            <w:tcW w:w="1139" w:type="dxa"/>
            <w:noWrap w:val="0"/>
            <w:vAlign w:val="top"/>
          </w:tcPr>
          <w:p>
            <w:pPr>
              <w:keepNext w:val="0"/>
              <w:keepLines w:val="0"/>
              <w:pageBreakBefore w:val="0"/>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46</w:t>
            </w:r>
          </w:p>
        </w:tc>
      </w:tr>
    </w:tbl>
    <w:p>
      <w:pPr>
        <w:keepNext w:val="0"/>
        <w:keepLines w:val="0"/>
        <w:pageBreakBefore w:val="0"/>
        <w:numPr>
          <w:ilvl w:val="0"/>
          <w:numId w:val="0"/>
        </w:numPr>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77"/>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vAlign w:val="center"/>
          </w:tcPr>
          <w:p>
            <w:pPr>
              <w:keepNext w:val="0"/>
              <w:keepLines w:val="0"/>
              <w:pageBreakBefore w:val="0"/>
              <w:numPr>
                <w:ilvl w:val="0"/>
                <w:numId w:val="0"/>
              </w:numPr>
              <w:kinsoku/>
              <w:wordWrap/>
              <w:overflowPunct/>
              <w:topLinePunct w:val="0"/>
              <w:autoSpaceDE/>
              <w:bidi w:val="0"/>
              <w:adjustRightInd/>
              <w:snapToGrid/>
              <w:spacing w:line="58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辅助系列</w:t>
            </w:r>
          </w:p>
        </w:tc>
        <w:tc>
          <w:tcPr>
            <w:tcW w:w="2877" w:type="dxa"/>
            <w:vAlign w:val="center"/>
          </w:tcPr>
          <w:p>
            <w:pPr>
              <w:keepNext w:val="0"/>
              <w:keepLines w:val="0"/>
              <w:pageBreakBefore w:val="0"/>
              <w:numPr>
                <w:ilvl w:val="0"/>
                <w:numId w:val="0"/>
              </w:numPr>
              <w:kinsoku/>
              <w:wordWrap/>
              <w:overflowPunct/>
              <w:topLinePunct w:val="0"/>
              <w:autoSpaceDE/>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9级</w:t>
            </w:r>
          </w:p>
        </w:tc>
        <w:tc>
          <w:tcPr>
            <w:tcW w:w="2877" w:type="dxa"/>
            <w:vAlign w:val="center"/>
          </w:tcPr>
          <w:p>
            <w:pPr>
              <w:keepNext w:val="0"/>
              <w:keepLines w:val="0"/>
              <w:pageBreakBefore w:val="0"/>
              <w:numPr>
                <w:ilvl w:val="0"/>
                <w:numId w:val="0"/>
              </w:numPr>
              <w:kinsoku/>
              <w:wordWrap/>
              <w:overflowPunct/>
              <w:topLinePunct w:val="0"/>
              <w:autoSpaceDE/>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vAlign w:val="center"/>
          </w:tcPr>
          <w:p>
            <w:pPr>
              <w:keepNext w:val="0"/>
              <w:keepLines w:val="0"/>
              <w:pageBreakBefore w:val="0"/>
              <w:numPr>
                <w:ilvl w:val="0"/>
                <w:numId w:val="0"/>
              </w:numPr>
              <w:kinsoku/>
              <w:wordWrap/>
              <w:overflowPunct/>
              <w:topLinePunct w:val="0"/>
              <w:autoSpaceDE/>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核准岗位数</w:t>
            </w:r>
          </w:p>
        </w:tc>
        <w:tc>
          <w:tcPr>
            <w:tcW w:w="2877" w:type="dxa"/>
            <w:vAlign w:val="center"/>
          </w:tcPr>
          <w:p>
            <w:pPr>
              <w:keepNext w:val="0"/>
              <w:keepLines w:val="0"/>
              <w:pageBreakBefore w:val="0"/>
              <w:numPr>
                <w:ilvl w:val="0"/>
                <w:numId w:val="0"/>
              </w:numPr>
              <w:kinsoku/>
              <w:wordWrap/>
              <w:overflowPunct/>
              <w:topLinePunct w:val="0"/>
              <w:autoSpaceDE/>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877" w:type="dxa"/>
            <w:vAlign w:val="center"/>
          </w:tcPr>
          <w:p>
            <w:pPr>
              <w:keepNext w:val="0"/>
              <w:keepLines w:val="0"/>
              <w:pageBreakBefore w:val="0"/>
              <w:numPr>
                <w:ilvl w:val="0"/>
                <w:numId w:val="0"/>
              </w:numPr>
              <w:kinsoku/>
              <w:wordWrap/>
              <w:overflowPunct/>
              <w:topLinePunct w:val="0"/>
              <w:autoSpaceDE/>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vAlign w:val="center"/>
          </w:tcPr>
          <w:p>
            <w:pPr>
              <w:keepNext w:val="0"/>
              <w:keepLines w:val="0"/>
              <w:pageBreakBefore w:val="0"/>
              <w:numPr>
                <w:ilvl w:val="0"/>
                <w:numId w:val="0"/>
              </w:numPr>
              <w:kinsoku/>
              <w:wordWrap/>
              <w:overflowPunct/>
              <w:topLinePunct w:val="0"/>
              <w:autoSpaceDE/>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空缺岗位数</w:t>
            </w:r>
          </w:p>
        </w:tc>
        <w:tc>
          <w:tcPr>
            <w:tcW w:w="2877" w:type="dxa"/>
            <w:vAlign w:val="center"/>
          </w:tcPr>
          <w:p>
            <w:pPr>
              <w:keepNext w:val="0"/>
              <w:keepLines w:val="0"/>
              <w:pageBreakBefore w:val="0"/>
              <w:numPr>
                <w:ilvl w:val="0"/>
                <w:numId w:val="0"/>
              </w:numPr>
              <w:kinsoku/>
              <w:wordWrap/>
              <w:overflowPunct/>
              <w:topLinePunct w:val="0"/>
              <w:autoSpaceDE/>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877" w:type="dxa"/>
            <w:vAlign w:val="center"/>
          </w:tcPr>
          <w:p>
            <w:pPr>
              <w:keepNext w:val="0"/>
              <w:keepLines w:val="0"/>
              <w:pageBreakBefore w:val="0"/>
              <w:numPr>
                <w:ilvl w:val="0"/>
                <w:numId w:val="0"/>
              </w:numPr>
              <w:kinsoku/>
              <w:wordWrap/>
              <w:overflowPunct/>
              <w:topLinePunct w:val="0"/>
              <w:autoSpaceDE/>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vAlign w:val="center"/>
          </w:tcPr>
          <w:p>
            <w:pPr>
              <w:keepNext w:val="0"/>
              <w:keepLines w:val="0"/>
              <w:pageBreakBefore w:val="0"/>
              <w:numPr>
                <w:ilvl w:val="0"/>
                <w:numId w:val="0"/>
              </w:numPr>
              <w:kinsoku/>
              <w:wordWrap/>
              <w:overflowPunct/>
              <w:topLinePunct w:val="0"/>
              <w:autoSpaceDE/>
              <w:bidi w:val="0"/>
              <w:adjustRightInd/>
              <w:snapToGrid/>
              <w:spacing w:line="58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本次设岗数</w:t>
            </w:r>
          </w:p>
        </w:tc>
        <w:tc>
          <w:tcPr>
            <w:tcW w:w="2877" w:type="dxa"/>
            <w:vAlign w:val="center"/>
          </w:tcPr>
          <w:p>
            <w:pPr>
              <w:keepNext w:val="0"/>
              <w:keepLines w:val="0"/>
              <w:pageBreakBefore w:val="0"/>
              <w:numPr>
                <w:ilvl w:val="0"/>
                <w:numId w:val="0"/>
              </w:numPr>
              <w:kinsoku/>
              <w:wordWrap/>
              <w:overflowPunct/>
              <w:topLinePunct w:val="0"/>
              <w:autoSpaceDE/>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877" w:type="dxa"/>
            <w:vAlign w:val="center"/>
          </w:tcPr>
          <w:p>
            <w:pPr>
              <w:keepNext w:val="0"/>
              <w:keepLines w:val="0"/>
              <w:pageBreakBefore w:val="0"/>
              <w:numPr>
                <w:ilvl w:val="0"/>
                <w:numId w:val="0"/>
              </w:numPr>
              <w:kinsoku/>
              <w:wordWrap/>
              <w:overflowPunct/>
              <w:topLinePunct w:val="0"/>
              <w:autoSpaceDE/>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r>
    </w:tbl>
    <w:p>
      <w:pPr>
        <w:keepNext w:val="0"/>
        <w:keepLines w:val="0"/>
        <w:pageBreakBefore w:val="0"/>
        <w:numPr>
          <w:ilvl w:val="0"/>
          <w:numId w:val="0"/>
        </w:numPr>
        <w:kinsoku/>
        <w:wordWrap/>
        <w:overflowPunct/>
        <w:topLinePunct w:val="0"/>
        <w:autoSpaceDE/>
        <w:bidi w:val="0"/>
        <w:adjustRightInd/>
        <w:snapToGrid/>
        <w:spacing w:line="580" w:lineRule="exact"/>
        <w:ind w:firstLine="0" w:firstLineChars="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bidi w:val="0"/>
        <w:adjustRightInd/>
        <w:snapToGrid/>
        <w:spacing w:line="580" w:lineRule="exact"/>
        <w:ind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已聘任</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岗位满一个聘期</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2021年8月31日满3年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及以上的人员均可竞聘</w:t>
      </w:r>
      <w:r>
        <w:rPr>
          <w:rFonts w:hint="eastAsia" w:ascii="仿宋_GB2312" w:hAnsi="仿宋_GB2312" w:eastAsia="仿宋_GB2312" w:cs="仿宋_GB2312"/>
          <w:sz w:val="32"/>
          <w:szCs w:val="32"/>
          <w:lang w:eastAsia="zh-CN"/>
        </w:rPr>
        <w:t>上一级</w:t>
      </w:r>
      <w:r>
        <w:rPr>
          <w:rFonts w:hint="eastAsia" w:ascii="仿宋_GB2312" w:hAnsi="仿宋_GB2312" w:eastAsia="仿宋_GB2312" w:cs="仿宋_GB2312"/>
          <w:sz w:val="32"/>
          <w:szCs w:val="32"/>
        </w:rPr>
        <w:t>教师岗位；</w:t>
      </w:r>
      <w:r>
        <w:rPr>
          <w:rFonts w:hint="eastAsia" w:ascii="仿宋_GB2312" w:hAnsi="宋体" w:eastAsia="仿宋_GB2312" w:cs="仿宋_GB2312"/>
          <w:color w:val="000000"/>
          <w:kern w:val="0"/>
          <w:sz w:val="32"/>
          <w:szCs w:val="32"/>
          <w:lang w:val="en-US" w:eastAsia="zh-CN" w:bidi="ar"/>
        </w:rPr>
        <w:t>实行</w:t>
      </w:r>
      <w:r>
        <w:rPr>
          <w:rFonts w:hint="eastAsia" w:ascii="黑体" w:hAnsi="黑体" w:eastAsia="黑体" w:cs="黑体"/>
          <w:color w:val="000000"/>
          <w:kern w:val="0"/>
          <w:sz w:val="32"/>
          <w:szCs w:val="32"/>
          <w:u w:val="none"/>
          <w:lang w:val="en-US" w:eastAsia="zh-CN" w:bidi="ar"/>
        </w:rPr>
        <w:t>逐级竞聘</w:t>
      </w:r>
      <w:r>
        <w:rPr>
          <w:rFonts w:hint="eastAsia" w:ascii="仿宋_GB2312" w:hAnsi="宋体" w:eastAsia="仿宋_GB2312" w:cs="仿宋_GB2312"/>
          <w:color w:val="000000"/>
          <w:kern w:val="0"/>
          <w:sz w:val="32"/>
          <w:szCs w:val="32"/>
          <w:u w:val="none"/>
          <w:lang w:val="en-US" w:eastAsia="zh-CN" w:bidi="ar"/>
        </w:rPr>
        <w:t>。</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val="en-US" w:eastAsia="zh-CN" w:bidi="ar"/>
        </w:rPr>
        <w:t>工作人员年度考核被确定为基本合格档次或不合格档次的</w:t>
      </w:r>
      <w:r>
        <w:rPr>
          <w:rFonts w:hint="eastAsia" w:ascii="仿宋_GB2312" w:hAnsi="宋体" w:eastAsia="仿宋_GB2312" w:cs="仿宋_GB2312"/>
          <w:color w:val="000000"/>
          <w:kern w:val="0"/>
          <w:sz w:val="32"/>
          <w:szCs w:val="32"/>
          <w:lang w:val="en-US" w:eastAsia="zh-CN" w:bidi="ar"/>
        </w:rPr>
        <w:t>，两年内（含考核基本合格年度或考核不合格年度）不得竞聘高于现聘岗位等级的岗位。</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3、</w:t>
      </w:r>
      <w:r>
        <w:rPr>
          <w:rFonts w:ascii="仿宋_GB2312" w:hAnsi="宋体" w:eastAsia="仿宋_GB2312" w:cs="仿宋_GB2312"/>
          <w:color w:val="000000"/>
          <w:kern w:val="0"/>
          <w:sz w:val="32"/>
          <w:szCs w:val="32"/>
          <w:lang w:val="en-US" w:eastAsia="zh-CN" w:bidi="ar"/>
        </w:rPr>
        <w:t>工作人员受党纪处分、政务处分、组织处理或诫</w:t>
      </w:r>
      <w:r>
        <w:rPr>
          <w:rFonts w:hint="eastAsia" w:ascii="仿宋_GB2312" w:hAnsi="宋体" w:eastAsia="仿宋_GB2312" w:cs="仿宋_GB2312"/>
          <w:color w:val="000000"/>
          <w:kern w:val="0"/>
          <w:sz w:val="32"/>
          <w:szCs w:val="32"/>
          <w:lang w:val="en-US" w:eastAsia="zh-CN" w:bidi="ar"/>
        </w:rPr>
        <w:t xml:space="preserve">勉等的，在处分期或影响期内，不得竞聘高于现聘岗位等级的岗位。 </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工作人员在受降低岗位等级处分期间，不得竞聘高于受处分后所聘岗位等级的岗位。 </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2"/>
          <w:szCs w:val="32"/>
          <w:lang w:val="en-US" w:eastAsia="zh-CN" w:bidi="ar"/>
        </w:rPr>
        <w:t>工作人员正在接受立案审查和停职审查期间，不得参加竞聘上岗。</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三、竞聘原则</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1、</w:t>
      </w:r>
      <w:r>
        <w:rPr>
          <w:rFonts w:ascii="仿宋_GB2312" w:hAnsi="宋体" w:eastAsia="仿宋_GB2312" w:cs="仿宋_GB2312"/>
          <w:color w:val="000000"/>
          <w:kern w:val="0"/>
          <w:sz w:val="32"/>
          <w:szCs w:val="32"/>
          <w:lang w:val="en-US" w:eastAsia="zh-CN" w:bidi="ar"/>
        </w:rPr>
        <w:t>党管干部、党管人才的原则；</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val="en-US" w:eastAsia="zh-CN" w:bidi="ar"/>
        </w:rPr>
        <w:t>坚持德</w:t>
      </w:r>
      <w:r>
        <w:rPr>
          <w:rFonts w:hint="eastAsia" w:ascii="仿宋_GB2312" w:hAnsi="宋体" w:eastAsia="仿宋_GB2312" w:cs="仿宋_GB2312"/>
          <w:color w:val="000000"/>
          <w:kern w:val="0"/>
          <w:sz w:val="32"/>
          <w:szCs w:val="32"/>
          <w:lang w:val="en-US" w:eastAsia="zh-CN" w:bidi="ar"/>
        </w:rPr>
        <w:t>才兼备、以德为先；</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3、坚持事业为上、突出业绩贡献；</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color w:val="000000"/>
          <w:kern w:val="0"/>
          <w:sz w:val="32"/>
          <w:szCs w:val="32"/>
          <w:lang w:val="en-US" w:eastAsia="zh-CN" w:bidi="ar"/>
        </w:rPr>
        <w:t>4、坚持民主、公开、竞争、择优</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bCs/>
          <w:color w:val="000000"/>
          <w:sz w:val="32"/>
          <w:szCs w:val="32"/>
        </w:rPr>
      </w:pPr>
      <w:r>
        <w:rPr>
          <w:rFonts w:hint="eastAsia" w:ascii="黑体" w:hAnsi="黑体" w:eastAsia="黑体" w:cs="黑体"/>
          <w:sz w:val="32"/>
          <w:szCs w:val="32"/>
        </w:rPr>
        <w:t>四、</w:t>
      </w:r>
      <w:r>
        <w:rPr>
          <w:rFonts w:hint="eastAsia" w:ascii="黑体" w:hAnsi="黑体" w:eastAsia="黑体" w:cs="黑体"/>
          <w:b/>
          <w:bCs/>
          <w:color w:val="000000"/>
          <w:sz w:val="32"/>
          <w:szCs w:val="32"/>
        </w:rPr>
        <w:t>组织领导机构</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为加强对教师职称分级聘任工作的领导，按照市教育局的工作部署，学校成立专门组织领导机构。</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1、分级聘任工作领导小组。</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组  长：李万国</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成  员：靳启华   华  伟   葛安乐   赵  亮</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领导小组下设分级聘任工作办公室，具体负责学校分级聘任工作方案的起草、讨论和修订，并负责分级聘任工作的组织协调和材料上报工作。</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2、材料审核工作小组。由学校办公室、教务处、教科所、政教处等相关工作人员组成；材料审核工作小组负责对申报人员及其所交材料进行资格审查，并按照量化赋分项目及赋分标准对申报人员进行赋分。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3、综合评议委员会。成立由班子成员、教学管理干部、一线教师代表组成的综合评议委员会，对申报人员进行综合评议；原则上在高级专业技术岗位专职从事专业技术工作的人员不少于三分之二。</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4、推荐委员会。分级聘任推荐委员会由部分学校领导、中层干部和高级教师代表组成（13人及以上），依次对推荐人员进行票决，提出推荐意见。</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5、监督委员会。由工会、督导室牵头，负责对整个分级聘任过程予以全程监督，确保分级聘任工作的公平公正。</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竞聘程序</w:t>
      </w:r>
    </w:p>
    <w:p>
      <w:pPr>
        <w:keepNext w:val="0"/>
        <w:keepLines w:val="0"/>
        <w:pageBreakBefore w:val="0"/>
        <w:kinsoku/>
        <w:wordWrap/>
        <w:overflowPunct/>
        <w:topLinePunct w:val="0"/>
        <w:autoSpaceDE/>
        <w:bidi w:val="0"/>
        <w:adjustRightInd/>
        <w:snapToGrid/>
        <w:spacing w:line="580" w:lineRule="exact"/>
        <w:ind w:firstLine="640" w:firstLineChars="200"/>
        <w:textAlignment w:val="auto"/>
      </w:pPr>
      <w:r>
        <w:rPr>
          <w:rFonts w:hint="eastAsia" w:ascii="仿宋_GB2312" w:hAnsi="宋体" w:eastAsia="仿宋_GB2312" w:cs="仿宋_GB2312"/>
          <w:color w:val="000000"/>
          <w:kern w:val="0"/>
          <w:sz w:val="32"/>
          <w:szCs w:val="32"/>
          <w:lang w:val="en-US" w:eastAsia="zh-CN" w:bidi="ar"/>
        </w:rPr>
        <w:t>1、制定分级聘任工作实施方案。经党委会集体研究，充分听取教师意见，报经主管部门同意后组织实施。</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2、公布实施方案、岗位名称、推荐数量、任职条件、竞聘程序及办法等事项。</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3、组织个人报名，填写《个人基本情况一览表》。竞聘人员需同时上交各类证书原件验证审查。</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材料审核工作小组审查申报人员资格条件、材料，对申报主系列岗位的人员进行量化赋分，并进行公示。有异议的在规定时间内向分级聘任工作办公室提出书面复审报告，经材料审核工作小组复审后交领导小组予以认定。</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5、综合评议委员会依据《个人基本情况一览表》，对申报主系列岗位的人员就品德、知识、能力和业绩进行综合评议，综合评议成绩按满分50分折算后计入总成绩。</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对申报辅助系列岗位人员，按照德、能、勤、绩、廉等现实表现材料进行综合打分，满分100分，按成绩由高到低排出顺序。</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6、汇总主系列岗位竞聘人员的量化得分和综合评议成绩，两项相加即为竞聘人员的综合成绩。</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7、根据岗位空额，分级聘任推荐委员会按成绩由高到低的顺序分别对申报主系列、辅助系列岗位人员逐次进行票决，同意票数过三分之二（含）者通过推荐；如出现未通过推荐者，推荐委员会按照成绩由高到低的顺序依次递补票决。</w:t>
      </w:r>
    </w:p>
    <w:p>
      <w:pPr>
        <w:keepNext w:val="0"/>
        <w:keepLines w:val="0"/>
        <w:pageBreakBefore w:val="0"/>
        <w:widowControl/>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8、学校分级聘任工作领导小组根据推荐委员会的推荐意见，集体研究确定推荐人选，并公示5个工作日；公示无异议后组织上报人选及材料。</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教师职称岗位量化赋分项目及赋分标准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1、教龄及初始学历分：教龄每年计0.2分，逐年累加；初始学历分，专科计0.4分，本科0.8分，研究生1.4分。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兼职（最近一个聘期内，2018年9月1日至2021年8月31日）：学校中层正职（含主持工作的副职）及以上、年级主任每满1年计0.8分；班主任每满1年计0.6分；在各校区担任备课组长、教研室主任、中层干部（含副主任、助理），每满1年计0.3分。同时兼任两项及以上职务者，只计一项职务。</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论文论著（只计1篇或1部）：论文论著均为本人独立撰写，须提交发表论文的正规刊物（不包括增刊、报纸）或已出版的学术类专著。在国家中文核心期刊发表的与本人任教学科相关的论文或在国内正式出版机构出版的与本人专业密切相关的学术类专著计1分，在其他正式刊物发表的与本人任教学科相关的论文计0.5分。论文论著发表或出版时间为</w:t>
      </w:r>
      <w:r>
        <w:rPr>
          <w:rFonts w:hint="eastAsia" w:ascii="仿宋_GB2312" w:hAnsi="宋体" w:eastAsia="仿宋_GB2312" w:cs="仿宋_GB2312"/>
          <w:color w:val="000000"/>
          <w:kern w:val="0"/>
          <w:sz w:val="32"/>
          <w:szCs w:val="32"/>
          <w:u w:val="none"/>
          <w:lang w:val="en-US" w:eastAsia="zh-CN" w:bidi="ar"/>
        </w:rPr>
        <w:t>聘任上一级岗位（中级或初级）</w:t>
      </w:r>
      <w:r>
        <w:rPr>
          <w:rFonts w:hint="eastAsia" w:ascii="仿宋_GB2312" w:hAnsi="宋体" w:eastAsia="仿宋_GB2312" w:cs="仿宋_GB2312"/>
          <w:color w:val="000000"/>
          <w:kern w:val="0"/>
          <w:sz w:val="32"/>
          <w:szCs w:val="32"/>
          <w:lang w:val="en-US" w:eastAsia="zh-CN" w:bidi="ar"/>
        </w:rPr>
        <w:t>以来至2021年8月31日。</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4、综合荣誉（只计1项最高荣誉）：必须是经学校推荐选拔所获得的荣誉，荣誉证书时间为</w:t>
      </w:r>
      <w:r>
        <w:rPr>
          <w:rFonts w:hint="eastAsia" w:ascii="仿宋_GB2312" w:hAnsi="宋体" w:eastAsia="仿宋_GB2312" w:cs="仿宋_GB2312"/>
          <w:color w:val="000000"/>
          <w:kern w:val="0"/>
          <w:sz w:val="32"/>
          <w:szCs w:val="32"/>
          <w:u w:val="none"/>
          <w:lang w:val="en-US" w:eastAsia="zh-CN" w:bidi="ar"/>
        </w:rPr>
        <w:t>聘任上一级岗位（中级或初级）</w:t>
      </w:r>
      <w:r>
        <w:rPr>
          <w:rFonts w:hint="eastAsia" w:ascii="仿宋_GB2312" w:hAnsi="宋体" w:eastAsia="仿宋_GB2312" w:cs="仿宋_GB2312"/>
          <w:color w:val="000000"/>
          <w:kern w:val="0"/>
          <w:sz w:val="32"/>
          <w:szCs w:val="32"/>
          <w:lang w:val="en-US" w:eastAsia="zh-CN" w:bidi="ar"/>
        </w:rPr>
        <w:t>以来至2021年8月31日。如所提交综合荣誉证书为下列①—⑥项中没有涉及到的，由分级聘任工作领导小组认定。</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①国家级劳模、国家级师德标兵、教师节表彰的国家级优秀教师（班主任、教育工作者）、齐鲁名师计12分；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②省劳模（先进工作者）、省师德标兵、教师节表彰的省优秀教师（班主任、教育工作者）计10分；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③省富民兴鲁劳动奖章获得者、市劳模、市功勋教师（功勋班主任）、市拔尖人才计8分；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④振兴泰安劳动奖章获得者、市优秀共产党员、市师德标兵、泰山名师（名班主任）、教师节表彰的市优秀教师（班主任、教育工作者)计6分；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⑤市直优秀共产党员、市直师德标兵、教师节表彰的市直优秀教师（班主任、教育工作者）计4分；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⑥教师节表彰的校级优秀教师（班主任、教育工作者）、年度考核优秀计2分。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5、教学类荣誉（只计1项最高荣誉）：必须是经学校推荐选拔所获得的荣誉，荣誉证书时间为</w:t>
      </w:r>
      <w:r>
        <w:rPr>
          <w:rFonts w:hint="eastAsia" w:ascii="仿宋_GB2312" w:hAnsi="宋体" w:eastAsia="仿宋_GB2312" w:cs="仿宋_GB2312"/>
          <w:color w:val="000000"/>
          <w:kern w:val="0"/>
          <w:sz w:val="32"/>
          <w:szCs w:val="32"/>
          <w:u w:val="none"/>
          <w:lang w:val="en-US" w:eastAsia="zh-CN" w:bidi="ar"/>
        </w:rPr>
        <w:t>聘任上一级</w:t>
      </w:r>
      <w:bookmarkStart w:id="0" w:name="_GoBack"/>
      <w:bookmarkEnd w:id="0"/>
      <w:r>
        <w:rPr>
          <w:rFonts w:hint="eastAsia" w:ascii="仿宋_GB2312" w:hAnsi="宋体" w:eastAsia="仿宋_GB2312" w:cs="仿宋_GB2312"/>
          <w:color w:val="000000"/>
          <w:kern w:val="0"/>
          <w:sz w:val="32"/>
          <w:szCs w:val="32"/>
          <w:u w:val="none"/>
          <w:lang w:val="en-US" w:eastAsia="zh-CN" w:bidi="ar"/>
        </w:rPr>
        <w:t>岗位（中级或初级）</w:t>
      </w:r>
      <w:r>
        <w:rPr>
          <w:rFonts w:hint="eastAsia" w:ascii="仿宋_GB2312" w:hAnsi="宋体" w:eastAsia="仿宋_GB2312" w:cs="仿宋_GB2312"/>
          <w:color w:val="000000"/>
          <w:kern w:val="0"/>
          <w:sz w:val="32"/>
          <w:szCs w:val="32"/>
          <w:lang w:val="en-US" w:eastAsia="zh-CN" w:bidi="ar"/>
        </w:rPr>
        <w:t>以来至2021年8月31日。如所提交教学类荣誉证书为下列①—⑤项中没有涉及到的，由分级聘任工作领导小组认定。</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①省教学能手、国家级优质课一等奖计7分；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②市教学能手、市学科带头人、泰山教坛英才（英才班主任）、市课程与教学工作会表彰的市教学成绩优秀奖（优秀班主任、先进个人）、省级以上竞赛辅导学生获奖牌（金牌、银牌、铜牌）并被清华和北大录取、国家级优质课二等奖、省优质课一等奖计5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③市直教学能手、市课程与教学工作会表彰的市直教学成绩优秀奖（优秀班主任、先进个人）、泰山教学新星（新星班主任）、省级以上竞赛辅导学生进入省集训队、省优质课比赛二等奖、市优质课一等奖计3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④省级以上竞赛辅导学生获一等奖（含特等奖）、省级以上优秀教练员、市优质课二等奖、市直优质课一等奖、省课件比赛一等奖、省创新课一等奖计2分；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⑤校优质课一等奖、市级竞赛辅导一等奖（含特等奖）、市级优秀教练员、市课件比赛一等奖、市创新课一等奖、市级以上（含市级）公开课计1分。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6、课时数：最近一个聘期内（2018年9月1日至2021年8月31日），一学期周课时均在12节及以上者每学期计0.3分，依次累加；8—11节以上者每学期计0.25分，依次累加；4—7节每学期计0.1分，依次累加。</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0" w:firstLineChars="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每学期在年级任课的教师又同时在处室兼职的，处室工作量按周课时数2节计入（已计算兼职分数的各类人员不包含此项）。</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0" w:firstLineChars="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七、几点说明</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申报人员应实事求是地向学校提供材料，严格遵守本方案规定；发现有违反本方案或其他舞弊行为，如材料造假，按照上级文件规定取消资格并严肃处理；如有师德违规或有其他违法违纪行为造成重大影响的，一票否决。</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2、参与分级聘任工作的工作人员必须坚持原则，秉公办事，不徇私情，认真核实材料和考核赋分。</w:t>
      </w:r>
    </w:p>
    <w:p>
      <w:pPr>
        <w:keepNext w:val="0"/>
        <w:keepLines w:val="0"/>
        <w:pageBreakBefore w:val="0"/>
        <w:widowControl/>
        <w:numPr>
          <w:ilvl w:val="0"/>
          <w:numId w:val="0"/>
        </w:numPr>
        <w:suppressLineNumbers w:val="0"/>
        <w:kinsoku/>
        <w:wordWrap/>
        <w:overflowPunct/>
        <w:topLinePunct w:val="0"/>
        <w:autoSpaceDE/>
        <w:bidi w:val="0"/>
        <w:adjustRightInd/>
        <w:snapToGrid/>
        <w:spacing w:line="58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3、教研室主任的任职由教科所认定，中层干部的任职由办公室认定，班主任的任职由校区政教处和所在年级部认定，备课组长的任职以及教师个人的课时数由校区教务处和所在年级部认定。认定者须认真审核后签字，并对认定结果负责。            </w:t>
      </w:r>
    </w:p>
    <w:p>
      <w:pPr>
        <w:keepNext w:val="0"/>
        <w:keepLines w:val="0"/>
        <w:pageBreakBefore w:val="0"/>
        <w:kinsoku/>
        <w:wordWrap/>
        <w:overflowPunct/>
        <w:topLinePunct w:val="0"/>
        <w:autoSpaceDE/>
        <w:bidi w:val="0"/>
        <w:adjustRightInd/>
        <w:snapToGrid/>
        <w:spacing w:line="580" w:lineRule="exact"/>
        <w:ind w:firstLine="0" w:firstLineChars="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adjustRightInd/>
        <w:snapToGrid/>
        <w:spacing w:line="580" w:lineRule="exact"/>
        <w:ind w:firstLine="0" w:firstLineChars="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adjustRightInd/>
        <w:snapToGrid/>
        <w:spacing w:line="580" w:lineRule="exact"/>
        <w:ind w:firstLine="0" w:firstLine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山东省泰安第一中学</w:t>
      </w:r>
    </w:p>
    <w:p>
      <w:pPr>
        <w:keepNext w:val="0"/>
        <w:keepLines w:val="0"/>
        <w:pageBreakBefore w:val="0"/>
        <w:kinsoku/>
        <w:wordWrap/>
        <w:overflowPunct/>
        <w:topLinePunct w:val="0"/>
        <w:autoSpaceDE/>
        <w:bidi w:val="0"/>
        <w:adjustRightInd/>
        <w:snapToGrid/>
        <w:spacing w:line="580" w:lineRule="exact"/>
        <w:ind w:firstLine="0" w:firstLineChars="0"/>
        <w:jc w:val="righ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keepNext w:val="0"/>
        <w:keepLines w:val="0"/>
        <w:pageBreakBefore w:val="0"/>
        <w:shd w:val="solid" w:color="FFFFFF" w:fill="auto"/>
        <w:kinsoku/>
        <w:wordWrap/>
        <w:overflowPunct/>
        <w:topLinePunct w:val="0"/>
        <w:autoSpaceDE/>
        <w:autoSpaceDN w:val="0"/>
        <w:bidi w:val="0"/>
        <w:adjustRightInd/>
        <w:snapToGrid/>
        <w:spacing w:line="580" w:lineRule="exact"/>
        <w:ind w:firstLine="0" w:firstLineChars="0"/>
        <w:textAlignment w:val="auto"/>
        <w:rPr>
          <w:rFonts w:hint="eastAsia" w:ascii="楷体_GB2312" w:hAnsi="楷体_GB2312" w:eastAsia="楷体_GB2312" w:cs="楷体_GB2312"/>
          <w:sz w:val="32"/>
          <w:szCs w:val="32"/>
          <w:shd w:val="clear" w:color="auto" w:fill="FFFFFF"/>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0" w:firstLineChars="0"/>
        <w:jc w:val="both"/>
        <w:textAlignment w:val="auto"/>
        <w:rPr>
          <w:rFonts w:hint="eastAsia" w:ascii="仿宋_GB2312" w:hAnsi="仿宋_GB2312" w:eastAsia="仿宋_GB2312" w:cs="仿宋_GB2312"/>
          <w:b w:val="0"/>
          <w:i w:val="0"/>
          <w:caps w:val="0"/>
          <w:color w:val="333333"/>
          <w:spacing w:val="8"/>
          <w:sz w:val="32"/>
          <w:szCs w:val="32"/>
          <w:shd w:val="clear" w:fill="FFFFFF"/>
          <w:lang w:val="en-US" w:eastAsia="zh-CN"/>
        </w:rPr>
      </w:pPr>
    </w:p>
    <w:sectPr>
      <w:headerReference r:id="rId3" w:type="default"/>
      <w:footerReference r:id="rId4" w:type="default"/>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FE09D"/>
    <w:multiLevelType w:val="singleLevel"/>
    <w:tmpl w:val="65CFE0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052F5"/>
    <w:rsid w:val="03A35EB9"/>
    <w:rsid w:val="04D65D7A"/>
    <w:rsid w:val="05FB22A3"/>
    <w:rsid w:val="06A94034"/>
    <w:rsid w:val="08C71033"/>
    <w:rsid w:val="097C0E3A"/>
    <w:rsid w:val="099C38F8"/>
    <w:rsid w:val="0AED3751"/>
    <w:rsid w:val="0AF567FB"/>
    <w:rsid w:val="0D7F7D62"/>
    <w:rsid w:val="1099125A"/>
    <w:rsid w:val="1159546A"/>
    <w:rsid w:val="13C66517"/>
    <w:rsid w:val="149179D7"/>
    <w:rsid w:val="150631CC"/>
    <w:rsid w:val="15541E5F"/>
    <w:rsid w:val="183F0B6B"/>
    <w:rsid w:val="191F0CC2"/>
    <w:rsid w:val="1EFC1C72"/>
    <w:rsid w:val="1F0F24E7"/>
    <w:rsid w:val="1F2C4B4F"/>
    <w:rsid w:val="1FAB4FF6"/>
    <w:rsid w:val="21E07E2B"/>
    <w:rsid w:val="25C80A0A"/>
    <w:rsid w:val="2C2B52AF"/>
    <w:rsid w:val="2DB82A86"/>
    <w:rsid w:val="2ED45864"/>
    <w:rsid w:val="31B41BB5"/>
    <w:rsid w:val="337551DA"/>
    <w:rsid w:val="36110B31"/>
    <w:rsid w:val="367D1DC3"/>
    <w:rsid w:val="38817055"/>
    <w:rsid w:val="39B550C9"/>
    <w:rsid w:val="39FE236C"/>
    <w:rsid w:val="3B2904FF"/>
    <w:rsid w:val="3B4645CB"/>
    <w:rsid w:val="3CC85C2A"/>
    <w:rsid w:val="3E24423C"/>
    <w:rsid w:val="3FF625E7"/>
    <w:rsid w:val="431C64D8"/>
    <w:rsid w:val="44AA5AC3"/>
    <w:rsid w:val="479803F6"/>
    <w:rsid w:val="48751194"/>
    <w:rsid w:val="4A2A5BCD"/>
    <w:rsid w:val="4E836032"/>
    <w:rsid w:val="4F056ABC"/>
    <w:rsid w:val="50616659"/>
    <w:rsid w:val="51E26D67"/>
    <w:rsid w:val="51FD0272"/>
    <w:rsid w:val="54EC2897"/>
    <w:rsid w:val="56DA1B53"/>
    <w:rsid w:val="57092765"/>
    <w:rsid w:val="5732638F"/>
    <w:rsid w:val="57AE420A"/>
    <w:rsid w:val="57C02E16"/>
    <w:rsid w:val="58E714BC"/>
    <w:rsid w:val="59076361"/>
    <w:rsid w:val="5D1828B1"/>
    <w:rsid w:val="60CF58D0"/>
    <w:rsid w:val="613125AB"/>
    <w:rsid w:val="63A41F05"/>
    <w:rsid w:val="646D7204"/>
    <w:rsid w:val="64F46C36"/>
    <w:rsid w:val="66BD39BA"/>
    <w:rsid w:val="67961794"/>
    <w:rsid w:val="68AE7871"/>
    <w:rsid w:val="6B0A5AC2"/>
    <w:rsid w:val="6C377E67"/>
    <w:rsid w:val="6CEA141A"/>
    <w:rsid w:val="6E7B1367"/>
    <w:rsid w:val="6E7E16A6"/>
    <w:rsid w:val="6EC34F3A"/>
    <w:rsid w:val="719E6A71"/>
    <w:rsid w:val="72F55A6D"/>
    <w:rsid w:val="753F0BDB"/>
    <w:rsid w:val="75675189"/>
    <w:rsid w:val="75B9794C"/>
    <w:rsid w:val="77311716"/>
    <w:rsid w:val="77EE4DC6"/>
    <w:rsid w:val="781D5C12"/>
    <w:rsid w:val="79CB37DB"/>
    <w:rsid w:val="7BE075A7"/>
    <w:rsid w:val="7C61736F"/>
    <w:rsid w:val="7D3C397E"/>
    <w:rsid w:val="7DB56E59"/>
    <w:rsid w:val="7EC0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2021-01-04T06:49:00Z</dcterms:created>
  <dc:creator>Administrator</dc:creator>
  <cp:lastModifiedBy>Administrator</cp:lastModifiedBy>
  <cp:lastPrinted>2021-07-15T07:05:00Z</cp:lastPrinted>
  <dcterms:modified xsi:type="dcterms:W3CDTF">2021-08-17T08:56:35Z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